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693" w:rsidRPr="00511094" w:rsidRDefault="00B6561A">
      <w:pPr>
        <w:jc w:val="center"/>
        <w:rPr>
          <w:b/>
          <w:sz w:val="44"/>
          <w:szCs w:val="44"/>
        </w:rPr>
      </w:pPr>
      <w:r w:rsidRPr="00511094">
        <w:rPr>
          <w:b/>
          <w:sz w:val="44"/>
          <w:szCs w:val="44"/>
        </w:rPr>
        <w:t>Student Work Protocol</w:t>
      </w:r>
    </w:p>
    <w:tbl>
      <w:tblPr>
        <w:tblStyle w:val="a"/>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e"/>
        <w:tblDescription w:val="name, date, unit title and task "/>
      </w:tblPr>
      <w:tblGrid>
        <w:gridCol w:w="13575"/>
      </w:tblGrid>
      <w:tr w:rsidR="00936693">
        <w:tc>
          <w:tcPr>
            <w:tcW w:w="13575" w:type="dxa"/>
          </w:tcPr>
          <w:p w:rsidR="00936693" w:rsidRPr="007A14FA" w:rsidRDefault="00B6561A">
            <w:pPr>
              <w:rPr>
                <w:sz w:val="20"/>
                <w:szCs w:val="20"/>
              </w:rPr>
            </w:pPr>
            <w:r w:rsidRPr="007A14FA">
              <w:rPr>
                <w:sz w:val="20"/>
                <w:szCs w:val="20"/>
              </w:rPr>
              <w:t xml:space="preserve">Name:                                                                                     </w:t>
            </w:r>
            <w:r w:rsidR="00DC5B02" w:rsidRPr="007A14FA">
              <w:rPr>
                <w:sz w:val="20"/>
                <w:szCs w:val="20"/>
              </w:rPr>
              <w:t xml:space="preserve">                  </w:t>
            </w:r>
            <w:r w:rsidRPr="007A14FA">
              <w:rPr>
                <w:sz w:val="20"/>
                <w:szCs w:val="20"/>
              </w:rPr>
              <w:t>Lesson/Unit Title:</w:t>
            </w:r>
          </w:p>
          <w:p w:rsidR="00936693" w:rsidRPr="007A14FA" w:rsidRDefault="00936693">
            <w:pPr>
              <w:rPr>
                <w:sz w:val="20"/>
                <w:szCs w:val="20"/>
              </w:rPr>
            </w:pPr>
          </w:p>
          <w:p w:rsidR="00936693" w:rsidRPr="007A14FA" w:rsidRDefault="00B6561A">
            <w:pPr>
              <w:rPr>
                <w:sz w:val="20"/>
                <w:szCs w:val="20"/>
              </w:rPr>
            </w:pPr>
            <w:r w:rsidRPr="007A14FA">
              <w:rPr>
                <w:sz w:val="20"/>
                <w:szCs w:val="20"/>
              </w:rPr>
              <w:t>Grade:                                                                                                       Task Title:</w:t>
            </w:r>
          </w:p>
          <w:p w:rsidR="00936693" w:rsidRPr="007A14FA" w:rsidRDefault="00936693">
            <w:pPr>
              <w:rPr>
                <w:sz w:val="20"/>
                <w:szCs w:val="20"/>
              </w:rPr>
            </w:pPr>
          </w:p>
        </w:tc>
      </w:tr>
    </w:tbl>
    <w:p w:rsidR="00936693" w:rsidRDefault="00B6561A">
      <w:pPr>
        <w:spacing w:after="0"/>
        <w:rPr>
          <w:b/>
          <w:sz w:val="24"/>
          <w:szCs w:val="24"/>
        </w:rPr>
      </w:pPr>
      <w:r>
        <w:rPr>
          <w:b/>
          <w:sz w:val="24"/>
          <w:szCs w:val="24"/>
        </w:rPr>
        <w:t>Introduction:</w:t>
      </w:r>
    </w:p>
    <w:p w:rsidR="00936693" w:rsidRPr="00511094" w:rsidRDefault="00B6561A">
      <w:pPr>
        <w:rPr>
          <w:sz w:val="16"/>
        </w:rPr>
      </w:pPr>
      <w:r>
        <w:t xml:space="preserve">Student work can be used as a strong indicator of the levels of proficiency for Kentucky Academic Standards. This protocol is adapted from the </w:t>
      </w:r>
      <w:bookmarkStart w:id="0" w:name="_GoBack"/>
      <w:bookmarkEnd w:id="0"/>
      <w:proofErr w:type="spellStart"/>
      <w:r>
        <w:t>EQuIP</w:t>
      </w:r>
      <w:proofErr w:type="spellEnd"/>
      <w:r>
        <w:t xml:space="preserve"> Student Work Analysis Tool (SWAT) that describes a process for collecting and analyzing student responses to the demands of a task. This protocol can be adapted and/or used for multiple purposes. For example a group of teachers might use this protocol to inform their own instruction of a particular task or school/district might use this protocol for professional learning activities aimed at a deeper understanding of student proficiency for the standards. </w:t>
      </w:r>
    </w:p>
    <w:p w:rsidR="00936693" w:rsidRDefault="00B6561A">
      <w:pPr>
        <w:spacing w:after="0"/>
        <w:rPr>
          <w:b/>
        </w:rPr>
      </w:pPr>
      <w:r>
        <w:rPr>
          <w:b/>
        </w:rPr>
        <w:t xml:space="preserve">The Objectives </w:t>
      </w:r>
    </w:p>
    <w:p w:rsidR="00936693" w:rsidRDefault="00B6561A">
      <w:pPr>
        <w:spacing w:after="0"/>
      </w:pPr>
      <w:r>
        <w:t xml:space="preserve">• To identify key aspects of how performance indicates student proficiency and understanding, with respect to the targeted Kentucky Academic standards. </w:t>
      </w:r>
    </w:p>
    <w:p w:rsidR="00936693" w:rsidRDefault="00B6561A">
      <w:pPr>
        <w:spacing w:after="0"/>
      </w:pPr>
      <w:r>
        <w:t xml:space="preserve">• To illustrate levels of student proficiency through analysis of samples of student work from a task within a unit. </w:t>
      </w:r>
    </w:p>
    <w:p w:rsidR="00936693" w:rsidRPr="00511094" w:rsidRDefault="00936693">
      <w:pPr>
        <w:spacing w:after="0"/>
        <w:rPr>
          <w:b/>
          <w:sz w:val="2"/>
        </w:rPr>
      </w:pPr>
    </w:p>
    <w:p w:rsidR="00936693" w:rsidRDefault="00B6561A">
      <w:pPr>
        <w:spacing w:after="0"/>
        <w:rPr>
          <w:b/>
        </w:rPr>
      </w:pPr>
      <w:r>
        <w:rPr>
          <w:b/>
        </w:rPr>
        <w:t xml:space="preserve">The Steps </w:t>
      </w:r>
    </w:p>
    <w:p w:rsidR="00936693" w:rsidRDefault="00B6561A">
      <w:pPr>
        <w:spacing w:after="0"/>
      </w:pPr>
      <w:r>
        <w:t xml:space="preserve">Step 1: Analyze the Task </w:t>
      </w:r>
    </w:p>
    <w:p w:rsidR="00936693" w:rsidRDefault="00B6561A">
      <w:pPr>
        <w:spacing w:after="0"/>
      </w:pPr>
      <w:r>
        <w:t>Step 2: Analyze Alignment to the Kentucky Academic Standards in Mathematics</w:t>
      </w:r>
    </w:p>
    <w:p w:rsidR="00936693" w:rsidRDefault="00B6561A">
      <w:pPr>
        <w:spacing w:after="0"/>
      </w:pPr>
      <w:r>
        <w:t>Step 3: Implement the task</w:t>
      </w:r>
    </w:p>
    <w:p w:rsidR="00936693" w:rsidRDefault="00B6561A">
      <w:pPr>
        <w:spacing w:after="0"/>
      </w:pPr>
      <w:r>
        <w:t xml:space="preserve">Step 4: Analyze Student Work Samples </w:t>
      </w:r>
    </w:p>
    <w:p w:rsidR="00936693" w:rsidRDefault="00B6561A">
      <w:pPr>
        <w:spacing w:after="0"/>
      </w:pPr>
      <w:r>
        <w:t>Step 5: Determining Next Steps</w:t>
      </w:r>
    </w:p>
    <w:p w:rsidR="00936693" w:rsidRPr="00511094" w:rsidRDefault="00936693">
      <w:pPr>
        <w:spacing w:after="0"/>
        <w:rPr>
          <w:b/>
          <w:sz w:val="2"/>
          <w:highlight w:val="white"/>
        </w:rPr>
      </w:pPr>
    </w:p>
    <w:p w:rsidR="00936693" w:rsidRDefault="00B6561A">
      <w:pPr>
        <w:spacing w:after="0"/>
        <w:rPr>
          <w:b/>
          <w:highlight w:val="white"/>
        </w:rPr>
      </w:pPr>
      <w:r>
        <w:rPr>
          <w:b/>
          <w:highlight w:val="white"/>
        </w:rPr>
        <w:t>Collaborative Process</w:t>
      </w:r>
    </w:p>
    <w:p w:rsidR="00936693" w:rsidRPr="00233B04" w:rsidRDefault="00B6561A">
      <w:pPr>
        <w:spacing w:after="0"/>
      </w:pPr>
      <w:r>
        <w:rPr>
          <w:highlight w:val="white"/>
        </w:rPr>
        <w:t>Using this protocol as a team (MIT, +2 Teachers and Regional Coordinators) allows teachers the opportunity to dive deeper into the standards to meet students’ needs</w:t>
      </w:r>
      <w:r>
        <w:t>. This also gives the MAF team the opportuni</w:t>
      </w:r>
      <w:r w:rsidR="00117B5D">
        <w:t xml:space="preserve">ty to determine next steps </w:t>
      </w:r>
      <w:r>
        <w:t xml:space="preserve">the MIT and classroom teacher are able to focus on in the student’s mathematics instruction. </w:t>
      </w:r>
    </w:p>
    <w:p w:rsidR="00936693" w:rsidRDefault="00B6561A">
      <w:pPr>
        <w:spacing w:after="0"/>
        <w:rPr>
          <w:b/>
          <w:highlight w:val="white"/>
        </w:rPr>
      </w:pPr>
      <w:r>
        <w:rPr>
          <w:b/>
          <w:highlight w:val="white"/>
        </w:rPr>
        <w:t>The Task</w:t>
      </w:r>
    </w:p>
    <w:p w:rsidR="00936693" w:rsidRDefault="00B6561A">
      <w:pPr>
        <w:spacing w:after="0"/>
        <w:rPr>
          <w:highlight w:val="white"/>
        </w:rPr>
      </w:pPr>
      <w:r>
        <w:rPr>
          <w:highlight w:val="white"/>
        </w:rPr>
        <w:t>When selecting the higher cognitive demand task in order to see students doing mathematics, look for the following characteristics:</w:t>
      </w:r>
    </w:p>
    <w:p w:rsidR="00936693" w:rsidRDefault="00B6561A">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rPr>
          <w:rFonts w:ascii="Noto Sans Symbols" w:eastAsia="Noto Sans Symbols" w:hAnsi="Noto Sans Symbols" w:cs="Noto Sans Symbols"/>
          <w:b/>
        </w:rPr>
      </w:pPr>
      <w:r>
        <w:t xml:space="preserve">Requires complex and non-algorithmic thinking, rather than a predictable, well-rehearsed approach or pathway. </w:t>
      </w:r>
    </w:p>
    <w:p w:rsidR="00936693" w:rsidRDefault="00B6561A">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rPr>
          <w:rFonts w:ascii="Noto Sans Symbols" w:eastAsia="Noto Sans Symbols" w:hAnsi="Noto Sans Symbols" w:cs="Noto Sans Symbols"/>
          <w:b/>
        </w:rPr>
      </w:pPr>
      <w:r>
        <w:t>Task instructions do not include a worked-out example.</w:t>
      </w:r>
    </w:p>
    <w:p w:rsidR="00936693" w:rsidRDefault="00B6561A">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rPr>
          <w:rFonts w:ascii="Noto Sans Symbols" w:eastAsia="Noto Sans Symbols" w:hAnsi="Noto Sans Symbols" w:cs="Noto Sans Symbols"/>
          <w:b/>
        </w:rPr>
      </w:pPr>
      <w:r>
        <w:t>Requires students to explore and understand the nature of mathematical concepts, processes or relationships.</w:t>
      </w:r>
    </w:p>
    <w:p w:rsidR="00936693" w:rsidRDefault="00B6561A">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rPr>
          <w:rFonts w:ascii="Noto Sans Symbols" w:eastAsia="Noto Sans Symbols" w:hAnsi="Noto Sans Symbols" w:cs="Noto Sans Symbols"/>
          <w:b/>
        </w:rPr>
      </w:pPr>
      <w:r>
        <w:t>Demands self-monitoring or self-regulation of one’s own cognitive processes.</w:t>
      </w:r>
    </w:p>
    <w:p w:rsidR="00936693" w:rsidRDefault="00B6561A">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rPr>
          <w:rFonts w:ascii="Noto Sans Symbols" w:eastAsia="Noto Sans Symbols" w:hAnsi="Noto Sans Symbols" w:cs="Noto Sans Symbols"/>
          <w:b/>
        </w:rPr>
      </w:pPr>
      <w:r>
        <w:t>Requires students to access relevant knowledge and experiences and make appropriate use of them in working through the task.</w:t>
      </w:r>
    </w:p>
    <w:p w:rsidR="00936693" w:rsidRDefault="00B6561A">
      <w:r>
        <w:rPr>
          <w:b/>
        </w:rPr>
        <w:t>The Collections-</w:t>
      </w:r>
      <w:r>
        <w:t>The MAF +2 teachers will complete the student work analysis chart 3 times a year on the same 3 selected students (one student below 25th percentile</w:t>
      </w:r>
      <w:r w:rsidR="00622794">
        <w:t xml:space="preserve"> who receives services from the MIT</w:t>
      </w:r>
      <w:r w:rsidR="007D2B6E">
        <w:t xml:space="preserve"> (if primary)</w:t>
      </w:r>
      <w:r>
        <w:t xml:space="preserve">, one student between the 45th and 75th percentiles and one student above grade level at the 85th percentile or above) and will upload the data to Abacus in order to track student growth.  </w:t>
      </w:r>
    </w:p>
    <w:p w:rsidR="00936693" w:rsidRDefault="00B6561A">
      <w:pPr>
        <w:rPr>
          <w:b/>
          <w:highlight w:val="cyan"/>
        </w:rPr>
      </w:pPr>
      <w:r>
        <w:rPr>
          <w:b/>
          <w:highlight w:val="cyan"/>
        </w:rPr>
        <w:t xml:space="preserve"> </w:t>
      </w:r>
    </w:p>
    <w:p w:rsidR="00DE503B" w:rsidRDefault="00DE503B">
      <w:pPr>
        <w:rPr>
          <w:b/>
          <w:highlight w:val="cyan"/>
        </w:rPr>
      </w:pPr>
    </w:p>
    <w:p w:rsidR="00DE503B" w:rsidRDefault="00DE503B">
      <w:pPr>
        <w:rPr>
          <w:b/>
          <w:highlight w:val="cyan"/>
        </w:rPr>
      </w:pPr>
    </w:p>
    <w:p w:rsidR="00936693" w:rsidRPr="000714BA" w:rsidRDefault="00B6561A">
      <w:pPr>
        <w:jc w:val="center"/>
        <w:rPr>
          <w:b/>
          <w:sz w:val="28"/>
          <w:szCs w:val="28"/>
        </w:rPr>
      </w:pPr>
      <w:r w:rsidRPr="000714BA">
        <w:rPr>
          <w:b/>
          <w:sz w:val="28"/>
          <w:szCs w:val="28"/>
        </w:rPr>
        <w:t>Steps for the Student Work Protocol-Mathematics</w:t>
      </w:r>
    </w:p>
    <w:tbl>
      <w:tblPr>
        <w:tblStyle w:val="a0"/>
        <w:tblW w:w="14737"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37"/>
      </w:tblGrid>
      <w:tr w:rsidR="00936693" w:rsidTr="000714BA">
        <w:tc>
          <w:tcPr>
            <w:tcW w:w="14737" w:type="dxa"/>
            <w:shd w:val="clear" w:color="auto" w:fill="F2F2F2"/>
          </w:tcPr>
          <w:p w:rsidR="00936693" w:rsidRDefault="00B6561A">
            <w:r>
              <w:rPr>
                <w:b/>
              </w:rPr>
              <w:t>STEP 1: Analyze the Task</w:t>
            </w:r>
            <w:r>
              <w:t xml:space="preserve"> </w:t>
            </w:r>
          </w:p>
          <w:p w:rsidR="00936693" w:rsidRDefault="00B6561A">
            <w:r>
              <w:t>Begin by considering the task’s mathematical goal and cognitive demand. The goal is to get a clean “first impression” of the task from the perspective of a grade-level student.</w:t>
            </w:r>
          </w:p>
          <w:p w:rsidR="00936693" w:rsidRDefault="00B6561A">
            <w:pPr>
              <w:numPr>
                <w:ilvl w:val="0"/>
                <w:numId w:val="1"/>
              </w:numPr>
              <w:pBdr>
                <w:top w:val="nil"/>
                <w:left w:val="nil"/>
                <w:bottom w:val="nil"/>
                <w:right w:val="nil"/>
                <w:between w:val="nil"/>
              </w:pBdr>
              <w:spacing w:line="259" w:lineRule="auto"/>
              <w:contextualSpacing/>
            </w:pPr>
            <w:r>
              <w:t>Teachers work through the task</w:t>
            </w:r>
          </w:p>
          <w:p w:rsidR="00936693" w:rsidRDefault="00B6561A">
            <w:pPr>
              <w:numPr>
                <w:ilvl w:val="0"/>
                <w:numId w:val="1"/>
              </w:numPr>
              <w:pBdr>
                <w:top w:val="nil"/>
                <w:left w:val="nil"/>
                <w:bottom w:val="nil"/>
                <w:right w:val="nil"/>
                <w:between w:val="nil"/>
              </w:pBdr>
              <w:spacing w:line="259" w:lineRule="auto"/>
              <w:contextualSpacing/>
            </w:pPr>
            <w:r>
              <w:rPr>
                <w:color w:val="000000"/>
              </w:rPr>
              <w:t xml:space="preserve">Study the task, including any associated texts and/or prompts, making notes about the possible </w:t>
            </w:r>
            <w:r>
              <w:t>mathematical goal</w:t>
            </w:r>
            <w:r>
              <w:rPr>
                <w:color w:val="000000"/>
              </w:rPr>
              <w:t xml:space="preserve"> and cognitive demand</w:t>
            </w:r>
            <w:r>
              <w:t>.</w:t>
            </w:r>
          </w:p>
        </w:tc>
      </w:tr>
      <w:tr w:rsidR="00936693" w:rsidTr="000714BA">
        <w:tc>
          <w:tcPr>
            <w:tcW w:w="14737" w:type="dxa"/>
          </w:tcPr>
          <w:p w:rsidR="00936693" w:rsidRDefault="00B6561A">
            <w:pPr>
              <w:rPr>
                <w:b/>
              </w:rPr>
            </w:pPr>
            <w:r>
              <w:rPr>
                <w:b/>
              </w:rPr>
              <w:t xml:space="preserve">Guiding Questions: </w:t>
            </w:r>
          </w:p>
          <w:p w:rsidR="00936693" w:rsidRDefault="00B6561A">
            <w:pPr>
              <w:numPr>
                <w:ilvl w:val="0"/>
                <w:numId w:val="8"/>
              </w:numPr>
              <w:pBdr>
                <w:top w:val="nil"/>
                <w:left w:val="nil"/>
                <w:bottom w:val="nil"/>
                <w:right w:val="nil"/>
                <w:between w:val="nil"/>
              </w:pBdr>
              <w:spacing w:line="259" w:lineRule="auto"/>
              <w:contextualSpacing/>
            </w:pPr>
            <w:r>
              <w:rPr>
                <w:color w:val="000000"/>
              </w:rPr>
              <w:t xml:space="preserve">What is the mathematical goal of the task? </w:t>
            </w:r>
          </w:p>
          <w:p w:rsidR="00936693" w:rsidRDefault="00B6561A">
            <w:pPr>
              <w:numPr>
                <w:ilvl w:val="0"/>
                <w:numId w:val="8"/>
              </w:numPr>
              <w:pBdr>
                <w:top w:val="nil"/>
                <w:left w:val="nil"/>
                <w:bottom w:val="nil"/>
                <w:right w:val="nil"/>
                <w:between w:val="nil"/>
              </w:pBdr>
              <w:spacing w:line="259" w:lineRule="auto"/>
              <w:contextualSpacing/>
            </w:pPr>
            <w:bookmarkStart w:id="1" w:name="_gjdgxs" w:colFirst="0" w:colLast="0"/>
            <w:bookmarkEnd w:id="1"/>
            <w:r>
              <w:t>How might a student enter into this task? Are there multiple entry points?</w:t>
            </w:r>
          </w:p>
          <w:p w:rsidR="00936693" w:rsidRDefault="00B6561A">
            <w:pPr>
              <w:numPr>
                <w:ilvl w:val="0"/>
                <w:numId w:val="7"/>
              </w:numPr>
              <w:pBdr>
                <w:top w:val="nil"/>
                <w:left w:val="nil"/>
                <w:bottom w:val="nil"/>
                <w:right w:val="nil"/>
                <w:between w:val="nil"/>
              </w:pBdr>
              <w:spacing w:line="259" w:lineRule="auto"/>
              <w:ind w:left="120" w:firstLine="240"/>
              <w:contextualSpacing/>
            </w:pPr>
            <w:r>
              <w:rPr>
                <w:color w:val="000000"/>
              </w:rPr>
              <w:t>Which standards for mathematical practice might be applied in the task?</w:t>
            </w:r>
          </w:p>
          <w:p w:rsidR="00936693" w:rsidRDefault="00B6561A">
            <w:pPr>
              <w:pBdr>
                <w:top w:val="nil"/>
                <w:left w:val="nil"/>
                <w:bottom w:val="nil"/>
                <w:right w:val="nil"/>
                <w:between w:val="nil"/>
              </w:pBdr>
              <w:spacing w:after="160" w:line="259" w:lineRule="auto"/>
              <w:rPr>
                <w:b/>
                <w:u w:val="single"/>
              </w:rPr>
            </w:pPr>
            <w:r>
              <w:rPr>
                <w:b/>
                <w:u w:val="single"/>
              </w:rPr>
              <w:t>Notes Regarding Purpose and Demands of Task:</w:t>
            </w:r>
          </w:p>
          <w:p w:rsidR="00936693" w:rsidRDefault="00936693">
            <w:pPr>
              <w:pBdr>
                <w:top w:val="nil"/>
                <w:left w:val="nil"/>
                <w:bottom w:val="nil"/>
                <w:right w:val="nil"/>
                <w:between w:val="nil"/>
              </w:pBdr>
              <w:spacing w:after="160" w:line="259" w:lineRule="auto"/>
              <w:rPr>
                <w:b/>
                <w:u w:val="single"/>
              </w:rPr>
            </w:pPr>
            <w:bookmarkStart w:id="2" w:name="_30j0zll" w:colFirst="0" w:colLast="0"/>
            <w:bookmarkEnd w:id="2"/>
          </w:p>
          <w:p w:rsidR="00936693" w:rsidRDefault="00936693">
            <w:pPr>
              <w:pBdr>
                <w:top w:val="nil"/>
                <w:left w:val="nil"/>
                <w:bottom w:val="nil"/>
                <w:right w:val="nil"/>
                <w:between w:val="nil"/>
              </w:pBdr>
              <w:spacing w:after="160" w:line="259" w:lineRule="auto"/>
            </w:pPr>
            <w:bookmarkStart w:id="3" w:name="_1fob9te" w:colFirst="0" w:colLast="0"/>
            <w:bookmarkEnd w:id="3"/>
          </w:p>
          <w:p w:rsidR="00622794" w:rsidRDefault="00622794">
            <w:pPr>
              <w:pBdr>
                <w:top w:val="nil"/>
                <w:left w:val="nil"/>
                <w:bottom w:val="nil"/>
                <w:right w:val="nil"/>
                <w:between w:val="nil"/>
              </w:pBdr>
              <w:spacing w:after="160" w:line="259" w:lineRule="auto"/>
            </w:pPr>
          </w:p>
          <w:p w:rsidR="00936693" w:rsidRDefault="00936693">
            <w:pPr>
              <w:rPr>
                <w:b/>
              </w:rPr>
            </w:pPr>
          </w:p>
        </w:tc>
      </w:tr>
    </w:tbl>
    <w:p w:rsidR="00936693" w:rsidRDefault="00936693">
      <w:pPr>
        <w:rPr>
          <w:sz w:val="8"/>
          <w:szCs w:val="8"/>
        </w:rPr>
      </w:pPr>
    </w:p>
    <w:tbl>
      <w:tblPr>
        <w:tblStyle w:val="a1"/>
        <w:tblW w:w="14737"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37"/>
      </w:tblGrid>
      <w:tr w:rsidR="00936693" w:rsidTr="000714BA">
        <w:tc>
          <w:tcPr>
            <w:tcW w:w="14737" w:type="dxa"/>
            <w:shd w:val="clear" w:color="auto" w:fill="F2F2F2"/>
          </w:tcPr>
          <w:p w:rsidR="00936693" w:rsidRDefault="00B6561A">
            <w:pPr>
              <w:rPr>
                <w:b/>
              </w:rPr>
            </w:pPr>
            <w:r>
              <w:rPr>
                <w:b/>
              </w:rPr>
              <w:t>Step 2: Analyze Alignment to the Kentucky Academic Standards</w:t>
            </w:r>
          </w:p>
          <w:p w:rsidR="00936693" w:rsidRDefault="00B6561A">
            <w:bookmarkStart w:id="4" w:name="_3znysh7" w:colFirst="0" w:colLast="0"/>
            <w:bookmarkEnd w:id="4"/>
            <w:r>
              <w:t xml:space="preserve">In this step, the discussion focuses on the alignment of specific standards to the task. </w:t>
            </w:r>
          </w:p>
          <w:p w:rsidR="00936693" w:rsidRDefault="00B6561A">
            <w:pPr>
              <w:numPr>
                <w:ilvl w:val="0"/>
                <w:numId w:val="4"/>
              </w:numPr>
              <w:contextualSpacing/>
            </w:pPr>
            <w:r>
              <w:t xml:space="preserve">Teachers determine which standards are targeted by the task.  </w:t>
            </w:r>
          </w:p>
          <w:p w:rsidR="00936693" w:rsidRDefault="00B6561A">
            <w:pPr>
              <w:numPr>
                <w:ilvl w:val="0"/>
                <w:numId w:val="4"/>
              </w:numPr>
              <w:contextualSpacing/>
            </w:pPr>
            <w:r>
              <w:t xml:space="preserve">Highlight the part of the standard that this task addresses from the mathematical goal in Step 1. </w:t>
            </w:r>
          </w:p>
        </w:tc>
      </w:tr>
      <w:tr w:rsidR="00936693" w:rsidTr="000714BA">
        <w:tc>
          <w:tcPr>
            <w:tcW w:w="14737" w:type="dxa"/>
          </w:tcPr>
          <w:p w:rsidR="00936693" w:rsidRDefault="00B6561A">
            <w:r>
              <w:rPr>
                <w:b/>
              </w:rPr>
              <w:t xml:space="preserve">Guiding Questions: </w:t>
            </w:r>
          </w:p>
          <w:p w:rsidR="00936693" w:rsidRDefault="00B6561A">
            <w:r>
              <w:t>• If the task is not completely aligned to the standards, how are you able to modify the task to meet the full intent of the standard?</w:t>
            </w:r>
          </w:p>
          <w:p w:rsidR="00936693" w:rsidRDefault="00936693">
            <w:pPr>
              <w:rPr>
                <w:b/>
              </w:rPr>
            </w:pPr>
          </w:p>
          <w:p w:rsidR="00936693" w:rsidRDefault="00B6561A">
            <w:pPr>
              <w:spacing w:after="160" w:line="259" w:lineRule="auto"/>
              <w:rPr>
                <w:b/>
                <w:u w:val="single"/>
              </w:rPr>
            </w:pPr>
            <w:bookmarkStart w:id="5" w:name="_2et92p0" w:colFirst="0" w:colLast="0"/>
            <w:bookmarkEnd w:id="5"/>
            <w:r>
              <w:rPr>
                <w:b/>
                <w:u w:val="single"/>
              </w:rPr>
              <w:t>Notes on Alignment of the of Task to the Standards:</w:t>
            </w:r>
          </w:p>
          <w:p w:rsidR="00936693" w:rsidRDefault="00936693">
            <w:pPr>
              <w:spacing w:after="160" w:line="259" w:lineRule="auto"/>
              <w:rPr>
                <w:b/>
                <w:u w:val="single"/>
              </w:rPr>
            </w:pPr>
            <w:bookmarkStart w:id="6" w:name="_tyjcwt" w:colFirst="0" w:colLast="0"/>
            <w:bookmarkEnd w:id="6"/>
          </w:p>
          <w:p w:rsidR="00622794" w:rsidRDefault="00622794">
            <w:pPr>
              <w:spacing w:after="160" w:line="259" w:lineRule="auto"/>
              <w:rPr>
                <w:b/>
                <w:u w:val="single"/>
              </w:rPr>
            </w:pPr>
          </w:p>
          <w:p w:rsidR="00936693" w:rsidRDefault="00936693">
            <w:pPr>
              <w:spacing w:after="160" w:line="259" w:lineRule="auto"/>
              <w:rPr>
                <w:b/>
                <w:u w:val="single"/>
              </w:rPr>
            </w:pPr>
            <w:bookmarkStart w:id="7" w:name="_3dy6vkm" w:colFirst="0" w:colLast="0"/>
            <w:bookmarkEnd w:id="7"/>
          </w:p>
          <w:p w:rsidR="00936693" w:rsidRDefault="00936693">
            <w:pPr>
              <w:rPr>
                <w:b/>
              </w:rPr>
            </w:pPr>
            <w:bookmarkStart w:id="8" w:name="_1t3h5sf" w:colFirst="0" w:colLast="0"/>
            <w:bookmarkEnd w:id="8"/>
          </w:p>
        </w:tc>
      </w:tr>
    </w:tbl>
    <w:p w:rsidR="00936693" w:rsidRDefault="00936693">
      <w:pPr>
        <w:rPr>
          <w:sz w:val="18"/>
          <w:szCs w:val="18"/>
        </w:rPr>
      </w:pPr>
    </w:p>
    <w:p w:rsidR="00936693" w:rsidRDefault="00936693">
      <w:pPr>
        <w:rPr>
          <w:sz w:val="18"/>
          <w:szCs w:val="18"/>
        </w:rPr>
      </w:pPr>
    </w:p>
    <w:p w:rsidR="00DE503B" w:rsidRDefault="00DE503B">
      <w:pPr>
        <w:rPr>
          <w:sz w:val="18"/>
          <w:szCs w:val="18"/>
        </w:rPr>
      </w:pPr>
    </w:p>
    <w:p w:rsidR="00DE503B" w:rsidRDefault="00DE503B">
      <w:pPr>
        <w:rPr>
          <w:sz w:val="18"/>
          <w:szCs w:val="18"/>
        </w:rPr>
      </w:pPr>
    </w:p>
    <w:p w:rsidR="00DE503B" w:rsidRDefault="00DE503B">
      <w:pPr>
        <w:rPr>
          <w:sz w:val="18"/>
          <w:szCs w:val="18"/>
        </w:rPr>
      </w:pPr>
    </w:p>
    <w:p w:rsidR="00936693" w:rsidRDefault="00936693">
      <w:pPr>
        <w:rPr>
          <w:sz w:val="18"/>
          <w:szCs w:val="18"/>
        </w:rPr>
      </w:pPr>
    </w:p>
    <w:tbl>
      <w:tblPr>
        <w:tblStyle w:val="a2"/>
        <w:tblW w:w="14770" w:type="dxa"/>
        <w:tblInd w:w="-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70"/>
      </w:tblGrid>
      <w:tr w:rsidR="00936693" w:rsidTr="000714BA">
        <w:tc>
          <w:tcPr>
            <w:tcW w:w="14770" w:type="dxa"/>
            <w:shd w:val="clear" w:color="auto" w:fill="EFEFEF"/>
            <w:tcMar>
              <w:top w:w="100" w:type="dxa"/>
              <w:left w:w="100" w:type="dxa"/>
              <w:bottom w:w="100" w:type="dxa"/>
              <w:right w:w="100" w:type="dxa"/>
            </w:tcMar>
          </w:tcPr>
          <w:p w:rsidR="00936693" w:rsidRDefault="00B6561A">
            <w:pPr>
              <w:widowControl w:val="0"/>
              <w:spacing w:after="0" w:line="240" w:lineRule="auto"/>
              <w:rPr>
                <w:b/>
              </w:rPr>
            </w:pPr>
            <w:r>
              <w:rPr>
                <w:b/>
              </w:rPr>
              <w:t>STEP 3: Implement the Task with Students</w:t>
            </w:r>
          </w:p>
          <w:p w:rsidR="00936693" w:rsidRDefault="00B6561A">
            <w:pPr>
              <w:widowControl w:val="0"/>
              <w:spacing w:after="0" w:line="240" w:lineRule="auto"/>
            </w:pPr>
            <w:r>
              <w:t xml:space="preserve">In this step, students will independently complete the instructional task.  </w:t>
            </w:r>
          </w:p>
          <w:p w:rsidR="00936693" w:rsidRDefault="00B6561A">
            <w:pPr>
              <w:widowControl w:val="0"/>
              <w:numPr>
                <w:ilvl w:val="0"/>
                <w:numId w:val="2"/>
              </w:numPr>
              <w:spacing w:after="0" w:line="240" w:lineRule="auto"/>
              <w:contextualSpacing/>
            </w:pPr>
            <w:r>
              <w:t>Provide any necessary materials for student use.</w:t>
            </w:r>
          </w:p>
          <w:p w:rsidR="00936693" w:rsidRDefault="00B6561A">
            <w:pPr>
              <w:widowControl w:val="0"/>
              <w:numPr>
                <w:ilvl w:val="0"/>
                <w:numId w:val="2"/>
              </w:numPr>
              <w:spacing w:after="0" w:line="240" w:lineRule="auto"/>
              <w:contextualSpacing/>
            </w:pPr>
            <w:r>
              <w:t>Encourage student thinking through questioning and encouragement without revealing answers.</w:t>
            </w:r>
            <w:r>
              <w:tab/>
            </w:r>
          </w:p>
        </w:tc>
      </w:tr>
      <w:tr w:rsidR="00936693" w:rsidTr="000714BA">
        <w:tc>
          <w:tcPr>
            <w:tcW w:w="14770" w:type="dxa"/>
            <w:shd w:val="clear" w:color="auto" w:fill="auto"/>
            <w:tcMar>
              <w:top w:w="100" w:type="dxa"/>
              <w:left w:w="100" w:type="dxa"/>
              <w:bottom w:w="100" w:type="dxa"/>
              <w:right w:w="100" w:type="dxa"/>
            </w:tcMar>
          </w:tcPr>
          <w:p w:rsidR="00936693" w:rsidRDefault="00B6561A">
            <w:pPr>
              <w:widowControl w:val="0"/>
              <w:spacing w:after="0" w:line="240" w:lineRule="auto"/>
              <w:rPr>
                <w:b/>
              </w:rPr>
            </w:pPr>
            <w:r>
              <w:rPr>
                <w:b/>
              </w:rPr>
              <w:t>Guiding Questions:</w:t>
            </w:r>
          </w:p>
          <w:p w:rsidR="00936693" w:rsidRDefault="00B6561A">
            <w:pPr>
              <w:widowControl w:val="0"/>
              <w:numPr>
                <w:ilvl w:val="0"/>
                <w:numId w:val="6"/>
              </w:numPr>
              <w:spacing w:after="0" w:line="240" w:lineRule="auto"/>
              <w:contextualSpacing/>
            </w:pPr>
            <w:r>
              <w:t>What types of questions might be appropriate to foster student thinking for this task?</w:t>
            </w:r>
          </w:p>
          <w:p w:rsidR="00936693" w:rsidRDefault="00B6561A">
            <w:pPr>
              <w:widowControl w:val="0"/>
              <w:numPr>
                <w:ilvl w:val="0"/>
                <w:numId w:val="6"/>
              </w:numPr>
              <w:spacing w:after="0" w:line="240" w:lineRule="auto"/>
              <w:contextualSpacing/>
            </w:pPr>
            <w:r>
              <w:t xml:space="preserve">What encouragement can I offer students to promote growth mindset and perseverance without hindering productive struggle? </w:t>
            </w:r>
          </w:p>
          <w:p w:rsidR="00936693" w:rsidRDefault="00936693">
            <w:pPr>
              <w:widowControl w:val="0"/>
              <w:spacing w:after="0" w:line="240" w:lineRule="auto"/>
            </w:pPr>
          </w:p>
          <w:p w:rsidR="00936693" w:rsidRDefault="00B6561A">
            <w:pPr>
              <w:widowControl w:val="0"/>
              <w:spacing w:after="0" w:line="240" w:lineRule="auto"/>
              <w:rPr>
                <w:b/>
                <w:u w:val="single"/>
              </w:rPr>
            </w:pPr>
            <w:r>
              <w:rPr>
                <w:b/>
                <w:u w:val="single"/>
              </w:rPr>
              <w:t>Notes on Potential Questions to Support Student Thinking and Perseverance:</w:t>
            </w:r>
          </w:p>
          <w:p w:rsidR="00936693" w:rsidRDefault="00936693">
            <w:pPr>
              <w:widowControl w:val="0"/>
              <w:spacing w:after="0" w:line="240" w:lineRule="auto"/>
              <w:rPr>
                <w:b/>
                <w:u w:val="single"/>
              </w:rPr>
            </w:pPr>
          </w:p>
          <w:p w:rsidR="00936693" w:rsidRDefault="00936693">
            <w:pPr>
              <w:widowControl w:val="0"/>
              <w:pBdr>
                <w:top w:val="nil"/>
                <w:left w:val="nil"/>
                <w:bottom w:val="nil"/>
                <w:right w:val="nil"/>
                <w:between w:val="nil"/>
              </w:pBdr>
              <w:spacing w:after="0" w:line="240" w:lineRule="auto"/>
              <w:rPr>
                <w:sz w:val="18"/>
                <w:szCs w:val="18"/>
              </w:rPr>
            </w:pPr>
          </w:p>
          <w:p w:rsidR="004D2746" w:rsidRDefault="004D2746">
            <w:pPr>
              <w:widowControl w:val="0"/>
              <w:pBdr>
                <w:top w:val="nil"/>
                <w:left w:val="nil"/>
                <w:bottom w:val="nil"/>
                <w:right w:val="nil"/>
                <w:between w:val="nil"/>
              </w:pBdr>
              <w:spacing w:after="0" w:line="240" w:lineRule="auto"/>
              <w:rPr>
                <w:sz w:val="18"/>
                <w:szCs w:val="18"/>
              </w:rPr>
            </w:pPr>
          </w:p>
          <w:p w:rsidR="004D2746" w:rsidRDefault="004D2746">
            <w:pPr>
              <w:widowControl w:val="0"/>
              <w:pBdr>
                <w:top w:val="nil"/>
                <w:left w:val="nil"/>
                <w:bottom w:val="nil"/>
                <w:right w:val="nil"/>
                <w:between w:val="nil"/>
              </w:pBdr>
              <w:spacing w:after="0" w:line="240" w:lineRule="auto"/>
              <w:rPr>
                <w:sz w:val="18"/>
                <w:szCs w:val="18"/>
              </w:rPr>
            </w:pPr>
          </w:p>
          <w:p w:rsidR="004D2746" w:rsidRDefault="004D2746">
            <w:pPr>
              <w:widowControl w:val="0"/>
              <w:pBdr>
                <w:top w:val="nil"/>
                <w:left w:val="nil"/>
                <w:bottom w:val="nil"/>
                <w:right w:val="nil"/>
                <w:between w:val="nil"/>
              </w:pBdr>
              <w:spacing w:after="0" w:line="240" w:lineRule="auto"/>
              <w:rPr>
                <w:sz w:val="18"/>
                <w:szCs w:val="18"/>
              </w:rPr>
            </w:pPr>
          </w:p>
        </w:tc>
      </w:tr>
    </w:tbl>
    <w:p w:rsidR="00936693" w:rsidRPr="00A45FA2" w:rsidRDefault="00936693">
      <w:pPr>
        <w:rPr>
          <w:sz w:val="6"/>
          <w:szCs w:val="18"/>
        </w:rPr>
      </w:pPr>
    </w:p>
    <w:tbl>
      <w:tblPr>
        <w:tblStyle w:val="a3"/>
        <w:tblW w:w="14737"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37"/>
      </w:tblGrid>
      <w:tr w:rsidR="00936693" w:rsidTr="000714BA">
        <w:tc>
          <w:tcPr>
            <w:tcW w:w="14737" w:type="dxa"/>
            <w:shd w:val="clear" w:color="auto" w:fill="F2F2F2"/>
          </w:tcPr>
          <w:p w:rsidR="00936693" w:rsidRDefault="00B6561A">
            <w:pPr>
              <w:rPr>
                <w:b/>
              </w:rPr>
            </w:pPr>
            <w:r>
              <w:rPr>
                <w:b/>
              </w:rPr>
              <w:t>STEP 4: Analyze Student Work Samples</w:t>
            </w:r>
          </w:p>
          <w:p w:rsidR="00936693" w:rsidRDefault="00B6561A">
            <w:r>
              <w:t>In this step, teachers analyze individual student work samples. Use the Student Work Analysis Chart on the next page to record individual analysis for each sample of student work.</w:t>
            </w:r>
          </w:p>
          <w:p w:rsidR="00936693" w:rsidRDefault="00B6561A">
            <w:pPr>
              <w:numPr>
                <w:ilvl w:val="0"/>
                <w:numId w:val="3"/>
              </w:numPr>
              <w:spacing w:line="259" w:lineRule="auto"/>
              <w:contextualSpacing/>
            </w:pPr>
            <w:r>
              <w:t xml:space="preserve">Identify student work level of the targeted standards based on this task (Below, </w:t>
            </w:r>
            <w:proofErr w:type="gramStart"/>
            <w:r>
              <w:t>At</w:t>
            </w:r>
            <w:proofErr w:type="gramEnd"/>
            <w:r>
              <w:t>, or Above Grade-Level Proficiency).</w:t>
            </w:r>
          </w:p>
          <w:p w:rsidR="00936693" w:rsidRDefault="00B6561A">
            <w:pPr>
              <w:numPr>
                <w:ilvl w:val="0"/>
                <w:numId w:val="3"/>
              </w:numPr>
              <w:spacing w:line="259" w:lineRule="auto"/>
              <w:contextualSpacing/>
            </w:pPr>
            <w:r>
              <w:t>Give evidence of the students’ ability to reason and problem solve through this task.</w:t>
            </w:r>
          </w:p>
          <w:p w:rsidR="00936693" w:rsidRDefault="00B6561A">
            <w:pPr>
              <w:numPr>
                <w:ilvl w:val="0"/>
                <w:numId w:val="3"/>
              </w:numPr>
              <w:spacing w:line="259" w:lineRule="auto"/>
              <w:contextualSpacing/>
            </w:pPr>
            <w:r>
              <w:t>List any barriers to learning that impacted students ability to successfully complete this task? (e.g., English Language Learners, directions, diagrams, etc.)</w:t>
            </w:r>
          </w:p>
          <w:p w:rsidR="00936693" w:rsidRDefault="00B6561A">
            <w:pPr>
              <w:numPr>
                <w:ilvl w:val="0"/>
                <w:numId w:val="3"/>
              </w:numPr>
              <w:contextualSpacing/>
            </w:pPr>
            <w:r>
              <w:t xml:space="preserve">Consider multiple ways a student might show proficiency. Keep in mind there may be multiple approaches to the task that would lead to evidence.  </w:t>
            </w:r>
          </w:p>
        </w:tc>
      </w:tr>
      <w:tr w:rsidR="00936693" w:rsidTr="000714BA">
        <w:tc>
          <w:tcPr>
            <w:tcW w:w="14737" w:type="dxa"/>
          </w:tcPr>
          <w:p w:rsidR="00936693" w:rsidRDefault="00B6561A">
            <w:pPr>
              <w:rPr>
                <w:b/>
              </w:rPr>
            </w:pPr>
            <w:r>
              <w:rPr>
                <w:b/>
              </w:rPr>
              <w:t xml:space="preserve">Guiding Questions: </w:t>
            </w:r>
          </w:p>
          <w:p w:rsidR="00936693" w:rsidRDefault="00B6561A">
            <w:pPr>
              <w:numPr>
                <w:ilvl w:val="0"/>
                <w:numId w:val="7"/>
              </w:numPr>
              <w:pBdr>
                <w:top w:val="nil"/>
                <w:left w:val="nil"/>
                <w:bottom w:val="nil"/>
                <w:right w:val="nil"/>
                <w:between w:val="nil"/>
              </w:pBdr>
              <w:spacing w:line="259" w:lineRule="auto"/>
              <w:contextualSpacing/>
              <w:rPr>
                <w:color w:val="000000"/>
              </w:rPr>
            </w:pPr>
            <w:r>
              <w:t>How might student work differ for students performing below grade level on this task? (At Grade-Level or Above Grade-Level Proficiency)</w:t>
            </w:r>
          </w:p>
          <w:p w:rsidR="004D2746" w:rsidRDefault="00B6561A" w:rsidP="004D2746">
            <w:pPr>
              <w:numPr>
                <w:ilvl w:val="0"/>
                <w:numId w:val="7"/>
              </w:numPr>
              <w:pBdr>
                <w:top w:val="nil"/>
                <w:left w:val="nil"/>
                <w:bottom w:val="nil"/>
                <w:right w:val="nil"/>
                <w:between w:val="nil"/>
              </w:pBdr>
              <w:spacing w:after="160" w:line="259" w:lineRule="auto"/>
              <w:contextualSpacing/>
            </w:pPr>
            <w:r>
              <w:t>What strategies were used to solve this task?  How might the teacher encourage the use of additional strategies?</w:t>
            </w:r>
          </w:p>
        </w:tc>
      </w:tr>
    </w:tbl>
    <w:p w:rsidR="00936693" w:rsidRDefault="00936693">
      <w:pPr>
        <w:rPr>
          <w:sz w:val="8"/>
          <w:szCs w:val="8"/>
        </w:rPr>
      </w:pPr>
    </w:p>
    <w:tbl>
      <w:tblPr>
        <w:tblStyle w:val="a4"/>
        <w:tblW w:w="14737"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37"/>
      </w:tblGrid>
      <w:tr w:rsidR="00936693" w:rsidTr="000714BA">
        <w:tc>
          <w:tcPr>
            <w:tcW w:w="14737" w:type="dxa"/>
            <w:shd w:val="clear" w:color="auto" w:fill="F2F2F2"/>
          </w:tcPr>
          <w:p w:rsidR="00936693" w:rsidRDefault="00B6561A">
            <w:pPr>
              <w:rPr>
                <w:b/>
              </w:rPr>
            </w:pPr>
            <w:r>
              <w:rPr>
                <w:b/>
              </w:rPr>
              <w:t>STEP 5: Determining Next Steps</w:t>
            </w:r>
          </w:p>
          <w:p w:rsidR="00936693" w:rsidRDefault="00B6561A">
            <w:r>
              <w:t xml:space="preserve">This step allows teachers to look for patterns and trends across the whole collection of student work from the chart in Step 4. </w:t>
            </w:r>
          </w:p>
          <w:p w:rsidR="00936693" w:rsidRDefault="00B6561A">
            <w:pPr>
              <w:numPr>
                <w:ilvl w:val="0"/>
                <w:numId w:val="9"/>
              </w:numPr>
              <w:contextualSpacing/>
              <w:rPr>
                <w:color w:val="000000"/>
              </w:rPr>
            </w:pPr>
            <w:r>
              <w:t>Analyze</w:t>
            </w:r>
            <w:r>
              <w:rPr>
                <w:color w:val="000000"/>
              </w:rPr>
              <w:t xml:space="preserve"> the whole collection of samples for the task, looking for patterns. </w:t>
            </w:r>
          </w:p>
          <w:p w:rsidR="00936693" w:rsidRDefault="00B6561A">
            <w:pPr>
              <w:numPr>
                <w:ilvl w:val="0"/>
                <w:numId w:val="9"/>
              </w:numPr>
              <w:pBdr>
                <w:top w:val="nil"/>
                <w:left w:val="nil"/>
                <w:bottom w:val="nil"/>
                <w:right w:val="nil"/>
                <w:between w:val="nil"/>
              </w:pBdr>
              <w:spacing w:line="259" w:lineRule="auto"/>
              <w:contextualSpacing/>
              <w:rPr>
                <w:b/>
                <w:color w:val="000000"/>
              </w:rPr>
            </w:pPr>
            <w:r>
              <w:t>T</w:t>
            </w:r>
            <w:r>
              <w:rPr>
                <w:color w:val="000000"/>
              </w:rPr>
              <w:t xml:space="preserve">eachers </w:t>
            </w:r>
            <w:r>
              <w:t>use the analysis of student work</w:t>
            </w:r>
            <w:r>
              <w:rPr>
                <w:color w:val="000000"/>
              </w:rPr>
              <w:t xml:space="preserve"> to inform the next steps of </w:t>
            </w:r>
            <w:r>
              <w:t>instruction.</w:t>
            </w:r>
          </w:p>
        </w:tc>
      </w:tr>
      <w:tr w:rsidR="00936693" w:rsidTr="000714BA">
        <w:tc>
          <w:tcPr>
            <w:tcW w:w="14737" w:type="dxa"/>
          </w:tcPr>
          <w:p w:rsidR="00936693" w:rsidRDefault="00B6561A">
            <w:pPr>
              <w:rPr>
                <w:b/>
              </w:rPr>
            </w:pPr>
            <w:r>
              <w:rPr>
                <w:b/>
              </w:rPr>
              <w:t xml:space="preserve">Guiding Questions: </w:t>
            </w:r>
          </w:p>
          <w:p w:rsidR="00936693" w:rsidRDefault="00B6561A">
            <w:pPr>
              <w:numPr>
                <w:ilvl w:val="0"/>
                <w:numId w:val="7"/>
              </w:numPr>
              <w:pBdr>
                <w:top w:val="nil"/>
                <w:left w:val="nil"/>
                <w:bottom w:val="nil"/>
                <w:right w:val="nil"/>
                <w:between w:val="nil"/>
              </w:pBdr>
              <w:spacing w:line="259" w:lineRule="auto"/>
              <w:contextualSpacing/>
              <w:rPr>
                <w:b/>
                <w:color w:val="000000"/>
              </w:rPr>
            </w:pPr>
            <w:r>
              <w:rPr>
                <w:color w:val="000000"/>
              </w:rPr>
              <w:t xml:space="preserve">What aspects of the student work demonstrate proficiency with the standards? </w:t>
            </w:r>
          </w:p>
          <w:p w:rsidR="00936693" w:rsidRDefault="00B6561A">
            <w:pPr>
              <w:numPr>
                <w:ilvl w:val="0"/>
                <w:numId w:val="7"/>
              </w:numPr>
              <w:pBdr>
                <w:top w:val="nil"/>
                <w:left w:val="nil"/>
                <w:bottom w:val="nil"/>
                <w:right w:val="nil"/>
                <w:between w:val="nil"/>
              </w:pBdr>
              <w:spacing w:line="259" w:lineRule="auto"/>
              <w:contextualSpacing/>
              <w:rPr>
                <w:b/>
                <w:color w:val="000000"/>
              </w:rPr>
            </w:pPr>
            <w:r>
              <w:rPr>
                <w:color w:val="000000"/>
              </w:rPr>
              <w:t xml:space="preserve">How do the patterns/trends observed across the collection of student work enhance understanding or bring out common student misconceptions of student proficiency? </w:t>
            </w:r>
          </w:p>
          <w:p w:rsidR="00936693" w:rsidRDefault="00B6561A">
            <w:pPr>
              <w:numPr>
                <w:ilvl w:val="0"/>
                <w:numId w:val="7"/>
              </w:numPr>
              <w:pBdr>
                <w:top w:val="nil"/>
                <w:left w:val="nil"/>
                <w:bottom w:val="nil"/>
                <w:right w:val="nil"/>
                <w:between w:val="nil"/>
              </w:pBdr>
              <w:spacing w:line="259" w:lineRule="auto"/>
              <w:contextualSpacing/>
              <w:rPr>
                <w:b/>
                <w:color w:val="000000"/>
              </w:rPr>
            </w:pPr>
            <w:r>
              <w:rPr>
                <w:color w:val="000000"/>
              </w:rPr>
              <w:t>What implications for instruction</w:t>
            </w:r>
            <w:r>
              <w:t>al practices</w:t>
            </w:r>
            <w:r>
              <w:rPr>
                <w:color w:val="000000"/>
              </w:rPr>
              <w:t xml:space="preserve"> are </w:t>
            </w:r>
            <w:r>
              <w:t>needed for next steps</w:t>
            </w:r>
            <w:r>
              <w:rPr>
                <w:color w:val="000000"/>
              </w:rPr>
              <w:t xml:space="preserve">?  </w:t>
            </w:r>
          </w:p>
          <w:p w:rsidR="00936693" w:rsidRDefault="00B6561A">
            <w:pPr>
              <w:spacing w:after="160" w:line="259" w:lineRule="auto"/>
              <w:rPr>
                <w:b/>
                <w:u w:val="single"/>
              </w:rPr>
            </w:pPr>
            <w:r>
              <w:rPr>
                <w:b/>
                <w:u w:val="single"/>
              </w:rPr>
              <w:t>Notes on Determining Next Steps:</w:t>
            </w:r>
          </w:p>
          <w:p w:rsidR="00936693" w:rsidRDefault="00936693">
            <w:pPr>
              <w:pBdr>
                <w:top w:val="nil"/>
                <w:left w:val="nil"/>
                <w:bottom w:val="nil"/>
                <w:right w:val="nil"/>
                <w:between w:val="nil"/>
              </w:pBdr>
              <w:spacing w:after="160" w:line="259" w:lineRule="auto"/>
              <w:ind w:left="720" w:hanging="720"/>
              <w:rPr>
                <w:b/>
              </w:rPr>
            </w:pPr>
          </w:p>
          <w:p w:rsidR="00936693" w:rsidRDefault="00936693">
            <w:pPr>
              <w:pBdr>
                <w:top w:val="nil"/>
                <w:left w:val="nil"/>
                <w:bottom w:val="nil"/>
                <w:right w:val="nil"/>
                <w:between w:val="nil"/>
              </w:pBdr>
              <w:spacing w:after="160" w:line="259" w:lineRule="auto"/>
              <w:ind w:left="720" w:hanging="720"/>
              <w:rPr>
                <w:b/>
              </w:rPr>
            </w:pPr>
          </w:p>
        </w:tc>
      </w:tr>
    </w:tbl>
    <w:p w:rsidR="00A45FA2" w:rsidRDefault="00A45FA2">
      <w:pPr>
        <w:jc w:val="center"/>
        <w:rPr>
          <w:sz w:val="52"/>
          <w:szCs w:val="52"/>
        </w:rPr>
      </w:pPr>
      <w:bookmarkStart w:id="9" w:name="_4d34og8" w:colFirst="0" w:colLast="0"/>
      <w:bookmarkEnd w:id="9"/>
    </w:p>
    <w:p w:rsidR="00936693" w:rsidRPr="00093364" w:rsidRDefault="00B6561A" w:rsidP="00A45FA2">
      <w:pPr>
        <w:jc w:val="center"/>
        <w:rPr>
          <w:b/>
          <w:sz w:val="28"/>
          <w:szCs w:val="28"/>
        </w:rPr>
      </w:pPr>
      <w:r w:rsidRPr="00093364">
        <w:rPr>
          <w:b/>
          <w:sz w:val="28"/>
          <w:szCs w:val="28"/>
        </w:rPr>
        <w:t>Student Work Analysis Chart</w:t>
      </w:r>
    </w:p>
    <w:p w:rsidR="00936693" w:rsidRDefault="00B6561A">
      <w:pPr>
        <w:ind w:left="-900" w:right="-990"/>
        <w:rPr>
          <w:b/>
        </w:rPr>
      </w:pPr>
      <w:bookmarkStart w:id="10" w:name="_mus7v93n6w8j" w:colFirst="0" w:colLast="0"/>
      <w:bookmarkEnd w:id="10"/>
      <w:r>
        <w:rPr>
          <w:b/>
        </w:rPr>
        <w:t>Name: _____________________________ Task: _____________________________ Targeted Standards: _________________________ Date</w:t>
      </w:r>
      <w:r w:rsidR="00233B04">
        <w:rPr>
          <w:b/>
        </w:rPr>
        <w:t>: _</w:t>
      </w:r>
      <w:r>
        <w:rPr>
          <w:b/>
        </w:rPr>
        <w:t>________________</w:t>
      </w:r>
    </w:p>
    <w:tbl>
      <w:tblPr>
        <w:tblStyle w:val="a5"/>
        <w:tblW w:w="1455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
        <w:gridCol w:w="3055"/>
        <w:gridCol w:w="2481"/>
        <w:gridCol w:w="2723"/>
        <w:gridCol w:w="5377"/>
      </w:tblGrid>
      <w:tr w:rsidR="00936693" w:rsidTr="00A45FA2">
        <w:trPr>
          <w:trHeight w:val="220"/>
        </w:trPr>
        <w:tc>
          <w:tcPr>
            <w:tcW w:w="921" w:type="dxa"/>
          </w:tcPr>
          <w:p w:rsidR="00936693" w:rsidRDefault="00936693">
            <w:pPr>
              <w:rPr>
                <w:sz w:val="52"/>
                <w:szCs w:val="52"/>
              </w:rPr>
            </w:pPr>
          </w:p>
        </w:tc>
        <w:tc>
          <w:tcPr>
            <w:tcW w:w="3055" w:type="dxa"/>
          </w:tcPr>
          <w:p w:rsidR="00936693" w:rsidRPr="00D1756A" w:rsidRDefault="00B6561A" w:rsidP="00F727E0">
            <w:pPr>
              <w:pBdr>
                <w:top w:val="nil"/>
                <w:left w:val="nil"/>
                <w:bottom w:val="nil"/>
                <w:right w:val="nil"/>
                <w:between w:val="nil"/>
              </w:pBdr>
              <w:spacing w:after="160" w:line="259" w:lineRule="auto"/>
              <w:rPr>
                <w:b/>
                <w:color w:val="000000"/>
              </w:rPr>
            </w:pPr>
            <w:r>
              <w:t>Identify student</w:t>
            </w:r>
            <w:r w:rsidR="00F727E0">
              <w:t>s</w:t>
            </w:r>
            <w:r>
              <w:t xml:space="preserve"> based on </w:t>
            </w:r>
            <w:r w:rsidR="00F727E0">
              <w:t>universal screener</w:t>
            </w:r>
            <w:r>
              <w:t xml:space="preserve"> (Below 25%, At 45-75%, or A</w:t>
            </w:r>
            <w:r w:rsidR="00D1756A">
              <w:t>bove Grade-Level 85% and above).</w:t>
            </w:r>
          </w:p>
        </w:tc>
        <w:tc>
          <w:tcPr>
            <w:tcW w:w="2481" w:type="dxa"/>
          </w:tcPr>
          <w:p w:rsidR="00936693" w:rsidRDefault="00B6561A">
            <w:pPr>
              <w:pBdr>
                <w:top w:val="nil"/>
                <w:left w:val="nil"/>
                <w:bottom w:val="nil"/>
                <w:right w:val="nil"/>
                <w:between w:val="nil"/>
              </w:pBdr>
              <w:spacing w:after="160" w:line="259" w:lineRule="auto"/>
              <w:rPr>
                <w:sz w:val="52"/>
                <w:szCs w:val="52"/>
              </w:rPr>
            </w:pPr>
            <w:r>
              <w:t>Give evidence of the students’ current ability to reason and problem solve through this task.</w:t>
            </w:r>
          </w:p>
        </w:tc>
        <w:tc>
          <w:tcPr>
            <w:tcW w:w="2723" w:type="dxa"/>
          </w:tcPr>
          <w:p w:rsidR="00936693" w:rsidRDefault="00B6561A">
            <w:pPr>
              <w:pBdr>
                <w:top w:val="nil"/>
                <w:left w:val="nil"/>
                <w:bottom w:val="nil"/>
                <w:right w:val="nil"/>
                <w:between w:val="nil"/>
              </w:pBdr>
              <w:spacing w:after="160" w:line="259" w:lineRule="auto"/>
            </w:pPr>
            <w:r>
              <w:t>List any barriers to learning that impacted students ability to successfully complete this task? (e.g., English Language Learners, directions, diagrams, etc.)</w:t>
            </w:r>
          </w:p>
        </w:tc>
        <w:tc>
          <w:tcPr>
            <w:tcW w:w="5377" w:type="dxa"/>
          </w:tcPr>
          <w:p w:rsidR="00936693" w:rsidRDefault="00B6561A">
            <w:pPr>
              <w:rPr>
                <w:sz w:val="52"/>
                <w:szCs w:val="52"/>
              </w:rPr>
            </w:pPr>
            <w:r>
              <w:t>Identify next instructional steps to move students learning.</w:t>
            </w:r>
          </w:p>
        </w:tc>
      </w:tr>
      <w:tr w:rsidR="00936693" w:rsidTr="00A45FA2">
        <w:trPr>
          <w:trHeight w:val="1320"/>
        </w:trPr>
        <w:tc>
          <w:tcPr>
            <w:tcW w:w="921" w:type="dxa"/>
          </w:tcPr>
          <w:p w:rsidR="00936693" w:rsidRDefault="00B6561A">
            <w:r>
              <w:t>Student</w:t>
            </w:r>
          </w:p>
          <w:p w:rsidR="00936693" w:rsidRDefault="00B6561A">
            <w:r>
              <w:t>#_____</w:t>
            </w:r>
          </w:p>
        </w:tc>
        <w:tc>
          <w:tcPr>
            <w:tcW w:w="3055" w:type="dxa"/>
          </w:tcPr>
          <w:p w:rsidR="00936693" w:rsidRDefault="00936693">
            <w:pPr>
              <w:rPr>
                <w:sz w:val="52"/>
                <w:szCs w:val="52"/>
              </w:rPr>
            </w:pPr>
          </w:p>
          <w:p w:rsidR="00936693" w:rsidRDefault="00936693">
            <w:pPr>
              <w:rPr>
                <w:sz w:val="52"/>
                <w:szCs w:val="52"/>
              </w:rPr>
            </w:pPr>
          </w:p>
          <w:p w:rsidR="00936693" w:rsidRDefault="00936693">
            <w:pPr>
              <w:rPr>
                <w:sz w:val="52"/>
                <w:szCs w:val="52"/>
              </w:rPr>
            </w:pPr>
          </w:p>
          <w:p w:rsidR="00936693" w:rsidRDefault="00936693">
            <w:pPr>
              <w:rPr>
                <w:sz w:val="52"/>
                <w:szCs w:val="52"/>
              </w:rPr>
            </w:pPr>
          </w:p>
        </w:tc>
        <w:tc>
          <w:tcPr>
            <w:tcW w:w="2481" w:type="dxa"/>
          </w:tcPr>
          <w:p w:rsidR="00936693" w:rsidRDefault="00936693">
            <w:pPr>
              <w:rPr>
                <w:sz w:val="52"/>
                <w:szCs w:val="52"/>
              </w:rPr>
            </w:pPr>
          </w:p>
        </w:tc>
        <w:tc>
          <w:tcPr>
            <w:tcW w:w="2723" w:type="dxa"/>
          </w:tcPr>
          <w:p w:rsidR="00936693" w:rsidRDefault="00936693">
            <w:pPr>
              <w:rPr>
                <w:sz w:val="52"/>
                <w:szCs w:val="52"/>
              </w:rPr>
            </w:pPr>
          </w:p>
        </w:tc>
        <w:tc>
          <w:tcPr>
            <w:tcW w:w="5377" w:type="dxa"/>
          </w:tcPr>
          <w:p w:rsidR="00936693" w:rsidRDefault="00936693">
            <w:pPr>
              <w:rPr>
                <w:sz w:val="52"/>
                <w:szCs w:val="52"/>
              </w:rPr>
            </w:pPr>
          </w:p>
        </w:tc>
      </w:tr>
      <w:tr w:rsidR="00936693" w:rsidTr="00A45FA2">
        <w:trPr>
          <w:trHeight w:val="1200"/>
        </w:trPr>
        <w:tc>
          <w:tcPr>
            <w:tcW w:w="921" w:type="dxa"/>
          </w:tcPr>
          <w:p w:rsidR="00936693" w:rsidRDefault="00B6561A">
            <w:r>
              <w:t>Student</w:t>
            </w:r>
          </w:p>
          <w:p w:rsidR="00936693" w:rsidRDefault="00B6561A">
            <w:pPr>
              <w:rPr>
                <w:sz w:val="52"/>
                <w:szCs w:val="52"/>
              </w:rPr>
            </w:pPr>
            <w:r>
              <w:t>#_____</w:t>
            </w:r>
          </w:p>
        </w:tc>
        <w:tc>
          <w:tcPr>
            <w:tcW w:w="3055" w:type="dxa"/>
          </w:tcPr>
          <w:p w:rsidR="00936693" w:rsidRDefault="00936693">
            <w:pPr>
              <w:rPr>
                <w:sz w:val="52"/>
                <w:szCs w:val="52"/>
              </w:rPr>
            </w:pPr>
          </w:p>
          <w:p w:rsidR="00936693" w:rsidRDefault="00936693">
            <w:pPr>
              <w:rPr>
                <w:sz w:val="52"/>
                <w:szCs w:val="52"/>
              </w:rPr>
            </w:pPr>
          </w:p>
          <w:p w:rsidR="00D1756A" w:rsidRDefault="00D1756A">
            <w:pPr>
              <w:rPr>
                <w:sz w:val="52"/>
                <w:szCs w:val="52"/>
              </w:rPr>
            </w:pPr>
          </w:p>
          <w:p w:rsidR="008C34AA" w:rsidRDefault="008C34AA">
            <w:pPr>
              <w:rPr>
                <w:sz w:val="52"/>
                <w:szCs w:val="52"/>
              </w:rPr>
            </w:pPr>
          </w:p>
        </w:tc>
        <w:tc>
          <w:tcPr>
            <w:tcW w:w="2481" w:type="dxa"/>
          </w:tcPr>
          <w:p w:rsidR="00936693" w:rsidRDefault="00936693">
            <w:pPr>
              <w:rPr>
                <w:sz w:val="52"/>
                <w:szCs w:val="52"/>
              </w:rPr>
            </w:pPr>
          </w:p>
        </w:tc>
        <w:tc>
          <w:tcPr>
            <w:tcW w:w="2723" w:type="dxa"/>
          </w:tcPr>
          <w:p w:rsidR="00936693" w:rsidRDefault="00936693">
            <w:pPr>
              <w:rPr>
                <w:sz w:val="52"/>
                <w:szCs w:val="52"/>
              </w:rPr>
            </w:pPr>
          </w:p>
        </w:tc>
        <w:tc>
          <w:tcPr>
            <w:tcW w:w="5377" w:type="dxa"/>
          </w:tcPr>
          <w:p w:rsidR="00936693" w:rsidRDefault="00936693">
            <w:pPr>
              <w:rPr>
                <w:sz w:val="52"/>
                <w:szCs w:val="52"/>
              </w:rPr>
            </w:pPr>
          </w:p>
        </w:tc>
      </w:tr>
      <w:tr w:rsidR="00936693" w:rsidTr="00A45FA2">
        <w:trPr>
          <w:trHeight w:val="2303"/>
        </w:trPr>
        <w:tc>
          <w:tcPr>
            <w:tcW w:w="921" w:type="dxa"/>
          </w:tcPr>
          <w:p w:rsidR="00936693" w:rsidRDefault="00B6561A">
            <w:r>
              <w:t>Student</w:t>
            </w:r>
          </w:p>
          <w:p w:rsidR="00936693" w:rsidRDefault="00B6561A">
            <w:r>
              <w:t>#_____</w:t>
            </w:r>
          </w:p>
        </w:tc>
        <w:tc>
          <w:tcPr>
            <w:tcW w:w="3055" w:type="dxa"/>
          </w:tcPr>
          <w:p w:rsidR="00936693" w:rsidRDefault="00936693">
            <w:pPr>
              <w:rPr>
                <w:sz w:val="52"/>
                <w:szCs w:val="52"/>
              </w:rPr>
            </w:pPr>
          </w:p>
          <w:p w:rsidR="00936693" w:rsidRDefault="00936693">
            <w:pPr>
              <w:rPr>
                <w:sz w:val="52"/>
                <w:szCs w:val="52"/>
              </w:rPr>
            </w:pPr>
          </w:p>
        </w:tc>
        <w:tc>
          <w:tcPr>
            <w:tcW w:w="2481" w:type="dxa"/>
          </w:tcPr>
          <w:p w:rsidR="00936693" w:rsidRDefault="00936693">
            <w:pPr>
              <w:rPr>
                <w:sz w:val="52"/>
                <w:szCs w:val="52"/>
              </w:rPr>
            </w:pPr>
          </w:p>
        </w:tc>
        <w:tc>
          <w:tcPr>
            <w:tcW w:w="2723" w:type="dxa"/>
          </w:tcPr>
          <w:p w:rsidR="00936693" w:rsidRDefault="00936693">
            <w:pPr>
              <w:rPr>
                <w:sz w:val="52"/>
                <w:szCs w:val="52"/>
              </w:rPr>
            </w:pPr>
          </w:p>
        </w:tc>
        <w:tc>
          <w:tcPr>
            <w:tcW w:w="5377" w:type="dxa"/>
          </w:tcPr>
          <w:p w:rsidR="00936693" w:rsidRDefault="00936693">
            <w:pPr>
              <w:rPr>
                <w:sz w:val="52"/>
                <w:szCs w:val="52"/>
              </w:rPr>
            </w:pPr>
          </w:p>
        </w:tc>
      </w:tr>
    </w:tbl>
    <w:p w:rsidR="00936693" w:rsidRDefault="00936693">
      <w:pPr>
        <w:rPr>
          <w:sz w:val="52"/>
          <w:szCs w:val="52"/>
        </w:rPr>
      </w:pPr>
    </w:p>
    <w:sectPr w:rsidR="00936693" w:rsidSect="00DE503B">
      <w:pgSz w:w="15840" w:h="12240" w:orient="landscape"/>
      <w:pgMar w:top="0" w:right="1440" w:bottom="45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37266"/>
    <w:multiLevelType w:val="multilevel"/>
    <w:tmpl w:val="059C7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455070"/>
    <w:multiLevelType w:val="multilevel"/>
    <w:tmpl w:val="21807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C45A39"/>
    <w:multiLevelType w:val="multilevel"/>
    <w:tmpl w:val="EEF27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C25D14"/>
    <w:multiLevelType w:val="multilevel"/>
    <w:tmpl w:val="1C88F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222EA7"/>
    <w:multiLevelType w:val="multilevel"/>
    <w:tmpl w:val="0BF4F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002C83"/>
    <w:multiLevelType w:val="multilevel"/>
    <w:tmpl w:val="B84A9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C36ED7"/>
    <w:multiLevelType w:val="multilevel"/>
    <w:tmpl w:val="17E04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1616B0E"/>
    <w:multiLevelType w:val="multilevel"/>
    <w:tmpl w:val="8A94B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487420"/>
    <w:multiLevelType w:val="multilevel"/>
    <w:tmpl w:val="A5CAA2E6"/>
    <w:lvl w:ilvl="0">
      <w:start w:val="1"/>
      <w:numFmt w:val="bullet"/>
      <w:lvlText w:val="●"/>
      <w:lvlJc w:val="left"/>
      <w:pPr>
        <w:ind w:left="765" w:hanging="360"/>
      </w:pPr>
      <w:rPr>
        <w:rFonts w:ascii="Calibri" w:eastAsia="Calibri" w:hAnsi="Calibri" w:cs="Calibri"/>
        <w:b w:val="0"/>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abstractNumId w:val="8"/>
  </w:num>
  <w:num w:numId="2">
    <w:abstractNumId w:val="7"/>
  </w:num>
  <w:num w:numId="3">
    <w:abstractNumId w:val="3"/>
  </w:num>
  <w:num w:numId="4">
    <w:abstractNumId w:val="5"/>
  </w:num>
  <w:num w:numId="5">
    <w:abstractNumId w:val="0"/>
  </w:num>
  <w:num w:numId="6">
    <w:abstractNumId w:val="4"/>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93"/>
    <w:rsid w:val="000714BA"/>
    <w:rsid w:val="00093364"/>
    <w:rsid w:val="00117B5D"/>
    <w:rsid w:val="00233B04"/>
    <w:rsid w:val="004D2746"/>
    <w:rsid w:val="00511094"/>
    <w:rsid w:val="005A58D7"/>
    <w:rsid w:val="00622794"/>
    <w:rsid w:val="007A14FA"/>
    <w:rsid w:val="007C557E"/>
    <w:rsid w:val="007D2B6E"/>
    <w:rsid w:val="00854662"/>
    <w:rsid w:val="008C34AA"/>
    <w:rsid w:val="00936693"/>
    <w:rsid w:val="00A45FA2"/>
    <w:rsid w:val="00A9624C"/>
    <w:rsid w:val="00B6561A"/>
    <w:rsid w:val="00CF2A9F"/>
    <w:rsid w:val="00D1756A"/>
    <w:rsid w:val="00DC5B02"/>
    <w:rsid w:val="00DE503B"/>
    <w:rsid w:val="00EB28A9"/>
    <w:rsid w:val="00F7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F5444-327B-45F5-964E-7CBF39DD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C5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B0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C5B02"/>
    <w:rPr>
      <w:b/>
      <w:bCs/>
    </w:rPr>
  </w:style>
  <w:style w:type="character" w:customStyle="1" w:styleId="CommentSubjectChar">
    <w:name w:val="Comment Subject Char"/>
    <w:basedOn w:val="CommentTextChar"/>
    <w:link w:val="CommentSubject"/>
    <w:uiPriority w:val="99"/>
    <w:semiHidden/>
    <w:rsid w:val="00DC5B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Chavez, Erin - Division of Program Standards</dc:creator>
  <cp:lastModifiedBy>Chavez, Erin - Division of Program Standards</cp:lastModifiedBy>
  <cp:revision>7</cp:revision>
  <dcterms:created xsi:type="dcterms:W3CDTF">2018-08-27T19:17:00Z</dcterms:created>
  <dcterms:modified xsi:type="dcterms:W3CDTF">2018-08-29T20:21:00Z</dcterms:modified>
</cp:coreProperties>
</file>