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50"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Extension Questions </w:t>
      </w:r>
    </w:p>
    <w:p w:rsidR="00000000" w:rsidDel="00000000" w:rsidP="00000000" w:rsidRDefault="00000000" w:rsidRPr="00000000" w14:paraId="00000002">
      <w:pPr>
        <w:widowControl w:val="0"/>
        <w:spacing w:before="150"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Is there a exponential model that closely represents the growth of Covid19 in US?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How do we make the growth more linear?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The growth rate in China was 50% per day prior to intervention. 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Suppose there were originally 3 persons in China with the disease,  determine the growth after 30 days without intervention.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How long before 200,000 people in US contract Covid19?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What is the total number of people infection in the US today? 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How does this rate compare to the predicted exponential model?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Exponential Growth Video Link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Professor Matt Yedlin, The University of British Columbia, Canada </w:t>
      </w:r>
      <w:hyperlink r:id="rId6">
        <w:r w:rsidDel="00000000" w:rsidR="00000000" w:rsidRPr="00000000">
          <w:rPr>
            <w:rFonts w:ascii="Avenir" w:cs="Avenir" w:eastAsia="Avenir" w:hAnsi="Avenir"/>
            <w:color w:val="1155cc"/>
            <w:sz w:val="28"/>
            <w:szCs w:val="28"/>
            <w:u w:val="single"/>
            <w:rtl w:val="0"/>
          </w:rPr>
          <w:t xml:space="preserve">https://youtu.be/1_SwKG4Zt60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References</w:t>
      </w:r>
    </w:p>
    <w:p w:rsidR="00000000" w:rsidDel="00000000" w:rsidP="00000000" w:rsidRDefault="00000000" w:rsidRPr="00000000" w14:paraId="0000001E">
      <w:pPr>
        <w:widowControl w:val="0"/>
        <w:spacing w:before="150"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Boston, D.M. (2009).  Transforming secondary mathematics teaching: Increasing the cognitive demands of instructional tasks used in teachers' classrooms. Journal for Research in Mathematics Education 40(2):119  National Council of Teachers of Mathematics 200903010021-8251</w:t>
      </w:r>
    </w:p>
    <w:p w:rsidR="00000000" w:rsidDel="00000000" w:rsidP="00000000" w:rsidRDefault="00000000" w:rsidRPr="00000000" w14:paraId="0000001F">
      <w:pPr>
        <w:widowControl w:val="0"/>
        <w:spacing w:before="150"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Hwang, C. (2020) Learning Exponential Functions through Experiments.  Mathematics Teacher: Teaching &amp; Learning PK-12. 113, 01, p.74-78). </w:t>
      </w:r>
    </w:p>
    <w:p w:rsidR="00000000" w:rsidDel="00000000" w:rsidP="00000000" w:rsidRDefault="00000000" w:rsidRPr="00000000" w14:paraId="00000020">
      <w:pPr>
        <w:widowControl w:val="0"/>
        <w:spacing w:before="220" w:line="240" w:lineRule="auto"/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Joseph Norman, Yaneer Bar-Yam, and Nassim Nicholas Taleb, Systemic risk of pandemic via novel pathogens – Coronavirus: A note, </w:t>
      </w:r>
      <w:r w:rsidDel="00000000" w:rsidR="00000000" w:rsidRPr="00000000">
        <w:rPr>
          <w:rFonts w:ascii="Avenir" w:cs="Avenir" w:eastAsia="Avenir" w:hAnsi="Avenir"/>
          <w:i w:val="1"/>
          <w:sz w:val="24"/>
          <w:szCs w:val="24"/>
          <w:highlight w:val="white"/>
          <w:rtl w:val="0"/>
        </w:rPr>
        <w:t xml:space="preserve">New England Complex Systems Institute</w:t>
      </w: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 (January 26, 2020).</w:t>
      </w:r>
    </w:p>
    <w:p w:rsidR="00000000" w:rsidDel="00000000" w:rsidP="00000000" w:rsidRDefault="00000000" w:rsidRPr="00000000" w14:paraId="00000021">
      <w:pPr>
        <w:widowControl w:val="0"/>
        <w:spacing w:before="220"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Jenny R. Root, Sarah K. Cox, Nannette Hammons, Alicia F. Saunders, and Deidre Gilley (2018) Contextualizing Mathematics: Teaching Problem Solving to Secondary Students With Intellectual and Developmental Disabilities. Intellectual and Developmental Disabilities: December 2018, Vol. 56, No. 6, pp. 442-457.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150"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New York Times article:</w:t>
      </w:r>
      <w:hyperlink r:id="rId7">
        <w:r w:rsidDel="00000000" w:rsidR="00000000" w:rsidRPr="00000000">
          <w:rPr>
            <w:rFonts w:ascii="Avenir" w:cs="Avenir" w:eastAsia="Avenir" w:hAnsi="Avenir"/>
            <w:color w:val="4472c4"/>
            <w:sz w:val="24"/>
            <w:szCs w:val="24"/>
            <w:u w:val="single"/>
            <w:rtl w:val="0"/>
          </w:rPr>
          <w:t xml:space="preserve">https://nyti.ms/3aRzTnO</w:t>
        </w:r>
      </w:hyperlink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March 13, 2020</w:t>
      </w:r>
    </w:p>
    <w:p w:rsidR="00000000" w:rsidDel="00000000" w:rsidP="00000000" w:rsidRDefault="00000000" w:rsidRPr="00000000" w14:paraId="00000023">
      <w:pPr>
        <w:widowControl w:val="0"/>
        <w:spacing w:before="150"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Roberts, S. (2020).  Exponential Power of Now.  New York Times. NY.  </w:t>
      </w:r>
      <w:hyperlink r:id="rId8">
        <w:r w:rsidDel="00000000" w:rsidR="00000000" w:rsidRPr="00000000">
          <w:rPr>
            <w:rFonts w:ascii="Avenir" w:cs="Avenir" w:eastAsia="Avenir" w:hAnsi="Avenir"/>
            <w:color w:val="0563c1"/>
            <w:sz w:val="24"/>
            <w:szCs w:val="24"/>
            <w:u w:val="single"/>
            <w:rtl w:val="0"/>
          </w:rPr>
          <w:t xml:space="preserve">https://nyti.ms/3aRzTnO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150"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222222"/>
          <w:sz w:val="24"/>
          <w:szCs w:val="24"/>
          <w:highlight w:val="white"/>
          <w:rtl w:val="0"/>
        </w:rPr>
        <w:t xml:space="preserve">Trela, K., &amp; Jimenez, B. A. (2013). From different to differentiated: Using “ecological framework” to support personally relevant access to general curriculum for students with significant intellectual disabilities. </w:t>
      </w:r>
      <w:r w:rsidDel="00000000" w:rsidR="00000000" w:rsidRPr="00000000">
        <w:rPr>
          <w:rFonts w:ascii="Avenir" w:cs="Avenir" w:eastAsia="Avenir" w:hAnsi="Avenir"/>
          <w:i w:val="1"/>
          <w:color w:val="222222"/>
          <w:sz w:val="24"/>
          <w:szCs w:val="24"/>
          <w:highlight w:val="white"/>
          <w:rtl w:val="0"/>
        </w:rPr>
        <w:t xml:space="preserve">Research and Practice for Persons with Severe Disabilities</w:t>
      </w:r>
      <w:r w:rsidDel="00000000" w:rsidR="00000000" w:rsidRPr="00000000">
        <w:rPr>
          <w:rFonts w:ascii="Avenir" w:cs="Avenir" w:eastAsia="Avenir" w:hAnsi="Avenir"/>
          <w:color w:val="222222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Avenir" w:cs="Avenir" w:eastAsia="Avenir" w:hAnsi="Avenir"/>
          <w:i w:val="1"/>
          <w:color w:val="222222"/>
          <w:sz w:val="24"/>
          <w:szCs w:val="24"/>
          <w:highlight w:val="white"/>
          <w:rtl w:val="0"/>
        </w:rPr>
        <w:t xml:space="preserve">38</w:t>
      </w:r>
      <w:r w:rsidDel="00000000" w:rsidR="00000000" w:rsidRPr="00000000">
        <w:rPr>
          <w:rFonts w:ascii="Avenir" w:cs="Avenir" w:eastAsia="Avenir" w:hAnsi="Avenir"/>
          <w:color w:val="222222"/>
          <w:sz w:val="24"/>
          <w:szCs w:val="24"/>
          <w:highlight w:val="white"/>
          <w:rtl w:val="0"/>
        </w:rPr>
        <w:t xml:space="preserve">(2), 117-119.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150"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before="150"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before="150"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before="150"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outu.be/1_SwKG4Zt60" TargetMode="External"/><Relationship Id="rId7" Type="http://schemas.openxmlformats.org/officeDocument/2006/relationships/hyperlink" Target="https://nyti.ms/3aRzTnO" TargetMode="External"/><Relationship Id="rId8" Type="http://schemas.openxmlformats.org/officeDocument/2006/relationships/hyperlink" Target="https://nyti.ms/3aRzT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